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22 163 vom 17. Februar 2023</w:t>
      </w:r>
    </w:p>
    <w:p>
      <w:r>
        <w:t>VS Kantonsgericht, 2023-02-17, DE</w:t>
      </w:r>
    </w:p>
    <w:p>
      <w:r>
        <w:rPr>
          <w:b/>
        </w:rPr>
        <w:t xml:space="preserve">Quelle: </w:t>
      </w:r>
      <w:r>
        <w:t>https://mcp.opencaselaw.ch/entscheid/vs_gerichte_A1 22 163</w:t>
      </w:r>
    </w:p>
    <w:p>
      <w:r>
        <w:t>FR: VS_GERICHTE A1 22 163 du 17 février 2023</w:t>
      </w:r>
    </w:p>
    <w:p>
      <w:r>
        <w:t>IT: VS_GERICHTE A1 22 163 del 17 febbraio 2023</w:t>
      </w:r>
    </w:p>
    <w:p>
      <w:pPr>
        <w:pStyle w:val="Heading2"/>
      </w:pPr>
      <w:r>
        <w:t>Regeste</w:t>
      </w:r>
    </w:p>
    <w:p>
      <w:r>
        <w:t>A1 22 163 URTEIL VOM 17. FEBRUAR 2023 Kantonsgericht Wallis Öffentlichrechtliche Abteilung Es wirken mit: Christophe Joris, Präsident, Jean-Bernard Fournier und Thomas Brunner, Richter, sowie Jean-Marc Klingele, Gerichtsschreiber ad hoc, in Sachen X_________, Beschwerdeführerin, vertreten durch Rechtsanwalt Christian Perrig, gegen SCHÄTZUNGSKOMMISSION, Vorinstanz, EINWOHNERGEMEINDE A_________, andere Behörde, vertreten durch Rechtsanwalt Georges Schmid, (Enteignung) Verwaltungsgerichtsbeschwerde gegen den Entscheid der Schätzungskommission vom 15. Juli 2022.</w:t>
      </w:r>
    </w:p>
    <w:p>
      <w:pPr>
        <w:pStyle w:val="Heading2"/>
      </w:pPr>
      <w:r>
        <w:t>Erwägungen</w:t>
      </w:r>
    </w:p>
    <w:p>
      <w:r>
        <w:rPr>
          <w:b/>
        </w:rPr>
        <w:t>E. 1</w:t>
      </w:r>
    </w:p>
    <w:p>
      <w:r>
        <w:t>Gemäss Art. 42 des kantonalen Enteignungsgesetzes vom 8. Mai 2008 (kEntG; SGS/VS 710.1) kann gegen Entscheide der Schätzungskommission Beschwerde beim Kantonsgericht eingereicht werden (Abs. 1). Der angefochtene Entscheid der Schät- zungskommission stellt eine letztinstanzliche Verfügung im Sinne von Art. 72 des Ge- setzes über das Verwaltungsverfahren und die Verwaltungsrechtspflege vom 6. Oktober 1976 (VVRG; SGS/VS 172.6) dar, die mangels Ausschlusses in den Art. 74 bis Art. 77 VVRG der Verwaltungsgerichtsbeschwerde unterliegt. Das Beschwerdeverfahren nach dem kEntG weicht insofern vom VVRG und damit von den allgemeinen verwaltungs- rechtlichen Verfahrensregeln ab, als dass das Kantonsgericht volle Kognitionsbefugnis</w:t>
      </w:r>
    </w:p>
    <w:p>
      <w:r>
        <w:t>- 8 - hat und über die Begehren der Parteien sowohl zu deren Lasten als auch zu deren Guns- ten hinausgehen kann (Art. 42 Abs. 2 lit. a und b kEntG).</w:t>
      </w:r>
    </w:p>
    <w:p>
      <w:r>
        <w:rPr>
          <w:b/>
        </w:rPr>
        <w:t>E. 1.1</w:t>
      </w:r>
    </w:p>
    <w:p>
      <w:r>
        <w:t>Die Beschwerdeführerin tritt vorliegend als Adressatin des angefochtenen Ent- scheids auf und ist als Eigentümerin der von der Schätzung betroffenen Parzelle durch diesen berührt, so dass sie ein schutzwürdiges Interesse an dessen Änderung oder Auf- hebung hat. Demzufolge ist die Beschwerdeführerin gemäss Art. 80 Abs. 1 lit. a i.V.m. Art. 44 Abs. 1 lit. a VVRG zur Beschwerdeführung legitimiert. Auf die im Übrigen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 Rügt die beschwerdeführende Person eine Rechtsverletzung, so hat sie sich mit der Argumentation der Vorinstanz im angefochte- nen Entscheid auseinanderzusetzen.</w:t>
      </w:r>
    </w:p>
    <w:p>
      <w:r>
        <w:rPr>
          <w:b/>
        </w:rPr>
        <w:t>E. 2.1</w:t>
      </w:r>
    </w:p>
    <w:p>
      <w:r>
        <w:t>Die Gemeinde vertritt den Standpunkt, wonach die Beschwerdeführerin es ver- säumt habe darzulegen, welche Rechtsverletzungen in casu vorlägen oder inwiefern die erstinstanzliche Kommission ihr Ermessen überschritten oder rechtserhebliche Sachver- halte unrichtig oder unvollständig festgestellt habe. Die Ausführungen der Gemeinde greifen zu kurz. Namentlich lassen sie unberücksich- tigt, dass sich die Beschwerdeführerin mit den tatsächlichen und rechtlichen Erwägun- gen der Schätzungskommission in rechtsgenüglicher Weise auseinandergesetzt hat. Aus den Vorbringen der Beschwerdeführerin lässt sich unschwer erkennen, aus welchen (rechtlichen) Gründen sie den angefochtenen Entscheid nicht akzeptiert. Obschon sich die Beschwerdeführerin in ihrer Replik auf die ihres Erachtens durch den angefochtenen Entscheid verletzten Bestimmungen beruft (Art. 26 Abs. 2 BV, Art. 6 Abs. 2 KV sowie Art. 11 Abs. 1 kEntG), wäre eine solche Bezugnahme im kantonalen Verwaltungsrechts- mittelverfahren nicht notwendig. Ungeachtet dessen und ganz grundsätzlich ist nicht ein- zusehen, inwiefern die Verwaltungsgerichtsbeschwerde den gesetzlichen Anforderun- gen von Art. 48 Abs. 2 i.V.m. Art. 80 Abs. 1 lit. c VVRG nicht genügen sollte.</w:t>
      </w:r>
    </w:p>
    <w:p>
      <w:r>
        <w:t>- 9 -</w:t>
      </w:r>
    </w:p>
    <w:p>
      <w:r>
        <w:rPr>
          <w:b/>
        </w:rPr>
        <w:t>E. 3</w:t>
      </w:r>
    </w:p>
    <w:p>
      <w:r>
        <w:t>Die Beschwerdeführerin hat als Beweismittel diverse Urkunden eingereicht und be- antragt darüber hinaus den Beizug der Akten der Vorinstanz, die Edition der Akten des Verfahrens A1 20 64 sowie eine Ortsschau.</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ZWR 2009 S. 46 E. 3b; Alfred Kölz/Isabelle Häner/Martin Bert- schi, Verwaltungsverfahren und Verwaltungsrechtspflege des Bundes, 3. A. 2013, N. 153 und N. 537). Dies trifft u. a. zu, wenn eine Beweisführung über einen nicht recht- lich relevanten Sachverhalt verlangt wird (Art. 80 Abs. 1 lit. d, Art. 56 und Art. 17 Abs. 2 VVRG; BGE 131 I 153 E. 3; 130 II 425 E. 2.1). Führen die von Amtes wegen vorzuneh- menden Abklärungen die Verwaltung oder den Richter bei pflichtgemässer Beweiswür- digung zur Überzeugung, ein bestimmter Sachverhalt sei als überwiegend wahrschein- lich zu betrachten und es könnten weitere Beweismassnahmen an diesem feststehen- den Ergebnis nichts mehr ändern, ist auf die Abnahme weiterer Beweise zu verzichten (BGE 144 V 361 E. 6.5; 136 I 229 E. 5.3; Alfred Kölz/Isabelle Häner/Martin Bertschi, a.a.O., N. 153 f. und N. 537).</w:t>
      </w:r>
    </w:p>
    <w:p>
      <w:r>
        <w:rPr>
          <w:b/>
        </w:rPr>
        <w:t>E. 3.2</w:t>
      </w:r>
    </w:p>
    <w:p>
      <w:r>
        <w:t>Das Kantonsgericht hat die eingereichten Belege zu den Akten genommen. Am 18. Oktober 2022 hat die Schätzungskommission das einschlägige Aktendossier inkl. Urkundenbordereau hinterlegt. Die vorhandenen Akten enthalten die entscheidrelevan- ten Sachverhaltselemente und genügen, wie die nachfolgenden Erwägungen zeigen, zur Beurteilung der rechtserheblichen Fragen. Das urteilende Gericht nimmt unter Berück- sichtigung der vorliegenden Umstände in antizipierter Beweiswürdigung an, weitere Be- weismittel würden nichts an der zu beurteilenden Sach- und Rechtslage ändern. Deshalb wird auf zusätzliche Beweisabnahmen – insbesondere auf die Edition der Akten des Verfahrens A1 20 64 sowie auf die Durchführung einer Ortsschau – verzichtet.</w:t>
      </w:r>
    </w:p>
    <w:p>
      <w:r>
        <w:rPr>
          <w:b/>
        </w:rPr>
        <w:t>E. 3.5</w:t>
      </w:r>
    </w:p>
    <w:p>
      <w:r>
        <w:t>% angewendet, so resultiere daraus bereits ein Preis von Fr. 120.60/m2.</w:t>
      </w:r>
    </w:p>
    <w:p>
      <w:r>
        <w:t>Die Gemeinde führt derweil aus, dass die Ertragswertberechnung zu Recht von der Schätzungskommission berücksichtigt worden sei. Der Kapitalisierungssatz von 4.5 % sei für die Enteignete vorteilhaft. Gemäss bundesgerichtlicher Rechtsprechung gelte für die Kapitalisierung von Böden in der Bauzone ein Kapitalisierungssatz von 5 - 7 %. Für die Annahme des Kapitalisierungssatzes bestehe für die erstinstanzliche Schätzungs- kommission kein Erklärungsbedarf. Dementsprechend seien die Herleitungen nachvoll- ziehbar und korrekt.</w:t>
      </w:r>
    </w:p>
    <w:p>
      <w:r>
        <w:rPr>
          <w:b/>
        </w:rPr>
        <w:t>E. 4</w:t>
      </w:r>
    </w:p>
    <w:p>
      <w:r>
        <w:t>Die formelle Enteignung ist eine Verwaltungshandlung, mit der eine Person ge- zwungen wird, ihre Eigentumsrechte oder andere dingliche oder persönliche Rechte an einem Grundstück oder einer beweglichen Sache für einen öffentlichen Zweck und ge- gen volle Entschädigung ganz oder teilweise abzutreten oder eine Einschränkung in der Ausübung dieser Rechte zu dulden (Art. 2 Abs. 1 kEntG). Die formelle Enteignung bedarf</w:t>
      </w:r>
    </w:p>
    <w:p>
      <w:r>
        <w:t>- 10 - gemäss Art. 36 BV einer gesetzlichen Grundlage, muss einem öffentlichen Zweck dienen und verhältnismässig sein (Christoph Fritzsche et al., Zürcher Planungs- und Baurecht, Band 1, 6. A., 2019, S. 313, N. 5.2.2). Sowohl das Kantonsgericht als auch das Bundes- gericht sind im Vorfeld dieses Verfahrens jeweils zum Schluss gekommen, dass die soeben genannten Kriterien in Bezug auf die formelle Enteignung der Parzelle Nr. y1 erfüllt seien und damit ein verfassungskonformer Eingriff in die Eigentumsgarantie vor- liege. Ein solch rechtmässiger Eingriff verleiht dem Enteigneten einen Anspruch auf volle Entschädigung des erlittenen Wertverlustes (vgl. Art. 26 Abs. 2 BV; Art. 6 Abs. 2 KV und Art. 11 Abs. 1 kEntG; vgl. Peter Hänni, Enteignung und Entschädigung, in: Schweizeri- sche Baurechtstagung 2005, Freiburg 2005, S. 131; BGE 127 I 185 E. 3; ZWR 2011 S. 162 E. 3.1; Urteil des Kantonsgerichts A1 18 34 vom 11. Juli 2018 S. 7).</w:t>
      </w:r>
    </w:p>
    <w:p>
      <w:r>
        <w:rPr>
          <w:b/>
        </w:rPr>
        <w:t>E. 4.1</w:t>
      </w:r>
    </w:p>
    <w:p>
      <w:r>
        <w:t>Die Beschwerdeführerin kritisiert vorliegend die von der Schätzungskommission festgesetzte Entschädigung in der Höhe von Fr. 85.--/m2. Die Entschädigung sei auf Fr. 170.--/m2 festzulegen, wobei nicht die von der Vorinstanz gewählte Ertragswertme- thode, sondern die statistische Methode anzuwenden sei. Zur Höhe von Entschädigun- gen bei formeller Enteignung ist zunächst Folgendes festzuhalten:</w:t>
      </w:r>
    </w:p>
    <w:p>
      <w:r>
        <w:rPr>
          <w:b/>
        </w:rPr>
        <w:t>E. 4.2</w:t>
      </w:r>
    </w:p>
    <w:p>
      <w:r>
        <w:t>Gemäss Art. 13 kEntG umfasst die Entschädigung den vollen Verkehrswert des ent- eigneten Rechts (lit. a), den Betrag der Wertverminderung des verbleibenden Teils, wenn von einem Grundstück oder von mehreren wirtschaftlich zusammenhängenden Grundstücken nur ein Teil in Anspruch genommen wird (lit. b) und den Betrag aller wei- teren vom Enteigneten hinzunehmenden Nachteile, die sich nach dem gewöhnlichen Lauf der Dinge als Folge der Enteignung voraussehen lassen (lit. c). Für die Berechnung des Verkehrswerts ist gemäss Art. 15 Abs. 1 kEntG der Zeitpunkt der Schätzung massgebend. Der Verkehrswert hängt von objektiven Kriterien ab, die ein potentieller Käufer in Betracht gezogen hätte, insbesondere Gegebenheiten juristischer Natur wie z.B. die Bestimmungen des öffentlichen Rechts, welche die gesetzlichen Nut- zungsmöglichkeiten des Bodens festlegen, sowie Bedingungen tatsächlicher Art wie die Lage der Parzelle oder die physischen Charakteristika des Bodens (BGE 122 II 246 E. 4a; 122 II 337 E. 5a; 122 I 168 E. 3a; Urteil des Bundesgerichts 1C.293/2011 vom 12. Oktober 2011 E. 4.1; Urteil des Kantonsgerichts A1 11 205 vom 3. Februar 2012 E. 4a). Auch die Möglichkeit und Wahrscheinlichkeit einer besseren Verwendung des Grundstücks in absehbarer Zeit ist angemessen zu berücksichtigen (Art. 15 Abs. 2 kEntG).</w:t>
      </w:r>
    </w:p>
    <w:p>
      <w:r>
        <w:t>- 11 -</w:t>
      </w:r>
    </w:p>
    <w:p>
      <w:r>
        <w:rPr>
          <w:b/>
        </w:rPr>
        <w:t>E. 4.3</w:t>
      </w:r>
    </w:p>
    <w:p>
      <w:r>
        <w:t>Der Verkehrswert einer Liegenschaft wird nach ständiger Praxis des Bundesge- richts in der Regel nach der statistischen Methode festgelegt, also nach den Kaufpreisen für Grundstücke mit gleicher oder ähnlicher Lage und Beschaffenheit (BGE 122 I 168 E. 3a; Urteil des Bundesgerichts 1C.293/2011 vom 12. Oktober 2011 E. 4.1; ZWR 2011 S. 162 E. 3.2). Diese Methode führt allerdings nur dann zu richtigen Resultaten, wenn Vergleichspreise in genügender Zahl für Objekte ähnlicher Beschaffenheit zur Verfügung stehen. An diese Voraussetzungen dürfen jedoch nicht zu hohe Anforderungen gestellt werden. Dementsprechend erfordert das Vergleichbarkeitskriterium nicht, dass in Bezug auf Lage, Grösse, Erschliessungsgrad, Zonenzugehörigkeit und Ausnützungsmöglich- keit praktisch Identität besteht. Unterschiedlichen (auch planerischen) Beschaffenheiten der Vergleichsgrundstücke kann durch sachlich angemessene Preiszuschläge oder -ab- züge Rechnung getragen werden. Auch braucht das Vergleichsgrundstück nicht im sel- ben Quartier zu liegen, sofern es hinsichtlich Lage, Umgebung, Ausnützungsmöglichkeit usw. dem Schätzungsobjekt ähnlich ist. In der Regel lässt sich selbst aus vereinzelten Vergleichspreisen auf das allgemeine Preisniveau schliessen. Sind nur wenige Kauf- preise bekannt, müssen diese besonders sorgfältig untersucht und können sie nur zur Entschädigungsbestimmung verwendet werden, wenn dem Vertragsabschluss nicht - wie etwa bei Verkäufen unter Verwandten sowie bei Arrondierungs- und ausgesproche- nen Spekulationskäufen - unübliche Verhältnisse zugrunde liegen (vgl. zum Ganzen BGE 122 I 168 E. 3a). Nur wenn überhaupt keine Vergleichspreise vorhanden sind, dürfen sich die Schät- zungsbehörden auf die ausschliessliche Anwendung von Methoden beschränken, die - wie die Lageklassenmethode, die Methode der Rückwärtsrechnung oder die Ertrags- wertmethode - auf blosse Hypothesen abstellen, auf heute nicht mehr durchwegs gel- tenden Rentabilitätsüberlegungen beruhen und bei denen das Ergebnis selbst durch kleinere Erhöhungen oder Reduktionen der Ausgangswerte fast beliebig verändert wer- den kann (BGE 114 Ib 286 E. 7).</w:t>
      </w:r>
    </w:p>
    <w:p>
      <w:r>
        <w:rPr>
          <w:b/>
        </w:rPr>
        <w:t>E. 4.4</w:t>
      </w:r>
    </w:p>
    <w:p>
      <w:r>
        <w:t>Die Ertragswertmethode wird grundsätzlich für die Schätzung von Grundstücken beigezogen, welche einen Ertrag abwerfen. Dies trifft vor allem auf land- und forstwirt- schaftlich genutztes Kulturland, auf eigentliche Renditeliegenschaften («Mietshäuser») sowie auf Parzellen zu, die anderweitig, z.B. als Kies- oder Lehmgrube, Steinbruch, De- ponie oder Parkplatz, gewinnbringend genutzt werden (Rudolf Merker, Der Grundsatz der «vollen Entschädigung» im Enteignungsrecht, in: Zürcher Beiträge zur Rechtswis- senschaft, Band 472, Zürich 1975, S. 14). Der Verkehrswert als Ertragswert wird aus</w:t>
      </w:r>
    </w:p>
    <w:p>
      <w:r>
        <w:t>- 12 - den Mieteinnahmen über einen Kapitalisierungsfaktor errechnet, wobei die Rückstellun- gen für grosszyklische Erneuerungen und die Bewirtschaftungskosten zu berücksichti- gen sind. Mit anderen Worten ergibt sich der Ertragswert einer Liegenschaft durch Kapi- talisierung des ihr zurechenbaren Kapitalisierungsfaktors. Dem jeweils im Einzelfall zu bestimmenden Kapitalisierungssatz kommt dabei eine erhebliche Hebelwirkung zu (Franz Kessler Coendet, Formelle Enteignung, in: Giovanni Biaggini/ Isabelle Häner/Urs Saxer/Markus Schott [Hrsg.], Fachhandbuch Verwaltungsrecht, Zürich/Basel/Genf 2015, N. 26.165). Ungeachtet dessen liegt die Festlegung des Kapitalisierungssatzes weitge- hend im freien Ermessen der zuständigen Behörde (Kaspar Fierz, Der Schweizer Immo- bilienwert, die moderne Lehre der Immobilienbewertung auf der Grundlage der Betriebs- wirtschaftslehre, der Finanzmathematik und Ökonometrie, 5. A., Zürich/Basel/Genf 2005, S. 104).</w:t>
      </w:r>
    </w:p>
    <w:p>
      <w:r>
        <w:rPr>
          <w:b/>
        </w:rPr>
        <w:t>E. 4.5</w:t>
      </w:r>
    </w:p>
    <w:p>
      <w:r>
        <w:t>Zur Verkehrswertfestlegung ist grundsätzlich von der rechtlichen und tatsächlichen Situation der Nutzung im Bewertungszeitpunkt auszugehen. Dabei ist jedoch, wie bereits erwähnt, auch die Möglichkeit und die Wahrscheinlichkeit einer besseren Verwendung des Grundstückes in absehbarer Zeit angemessen zu berücksichtigen. Als Bewertungs- zeitpunkt gilt in der Regel jener der Schätzung durch die Schätzungskommission. Er kann allenfalls bei langer Verfahrensdauer und gleichzeitiger, vorgängiger Inbesitz- nahme geändert werden (BGE 129 II 470 E. 6.1; Urteil des Bundesgerichts 1P.421/2002 vom 7. Januar 2003; ZWR 2005 S. 16 ff.; Ulrich Zimmerli, Die staatsrechtliche Recht- sprechung des Bundesgerichts in den Jahren 2003 und 2004, in: ZBJV Band 140 2004, S. 661; Piermarco Zen-Ruffinen/Christine Guy-Ecabert, Aménagement du territoire, construction, expropriation, Bern 2001, N. 1166 ff.). Von einer anderen als der am Be- wertungsstichtag bestehenden Rechtslage darf ausgegangen werden, wenn mit hoher Wahrscheinlichkeit die Änderung der rechtlichen Zuordnung des enteigneten Grund- stücks in naher Zukunft anzunehmen wäre (BGE 129 II 470 E. 5).</w:t>
      </w:r>
    </w:p>
    <w:p>
      <w:r>
        <w:rPr>
          <w:b/>
        </w:rPr>
        <w:t>E. 4.6</w:t>
      </w:r>
    </w:p>
    <w:p>
      <w:r>
        <w:t>Dem angefochtenen Entscheid sowie dem Zonennutzungsplan der Gemeinde er- hellt, dass sich die Parzelle Nr. y1 zwar in der Bauzone, dabei aber in der Zone für tou- ristische Bauten tB (SNP) befindet.</w:t>
      </w:r>
    </w:p>
    <w:p>
      <w:r>
        <w:t>- 13 - Art. 75 BZR hält bezüglich dem Zonenzweck Folgendes fest: « Die Zone für touristische Bauten ist für Wohnbauten und Bauten mit gastgewerblichem Betrieben bestimmt. Die Baubehörde kann Auflagen für Freiflächen verfügen, welche für die Pistendurchfahrt und die Zufahrt zur Zone für touristische Anlagen (C_________) von Bedeutung sind. » Zudem enthält Art. 75 BZR folgende Sondervorschriften: « - In dieser Zone kann vom Gemeinderat laut Art. 30 ein Quartierplan (SNP) kombiniert mit einer Baulandumlegung verlangt werden. Die Verteilung Freifläche – Baugebiet hat aufgrund des Quar- tierplanes zu erfolgen. - Der Gemeinderat kann im Rahmen dieses Quartierplanes verlangen, dass eine unterirdische Par- kierung mit der Zone für touristische Anlagen «C_________» (siehe Art. 76) kombiniert und die- ser Zone die Durchfahrt gewährt wird. Ebenfalls ist die Durchfahrt der Skipisten zu regeln. - Falls eine entsprechende Quartierplanung unter Gewährleistung dieser oder weiterer öffentlicher Interessen zustande kommt, können vom Gemeinderat in dieser Zone bezüglich Geschosszahl, Gebäudehöhe und Ausnutzung die Bestimmungen der Zone W4 angewendet werden. »</w:t>
      </w:r>
    </w:p>
    <w:p>
      <w:r>
        <w:rPr>
          <w:b/>
        </w:rPr>
        <w:t>E. 4.7</w:t>
      </w:r>
    </w:p>
    <w:p>
      <w:r>
        <w:t>Wie bereits dargelegt, verlangt die Beschwerdeführerin eine Entschädigung für die enteigneten Flächen in der Höhe von Fr. 170.--/m2. Sie kritisiert den festgesetzten Ent- schädigungsbetrag in erster Linie aufgrund der von der Vorinstanz verwendeten Ertrags- wertmethode. Dementsprechend bringt sie vor, dass aufgrund der Unterlagen der Schät- zungskommission genügend Angaben vorlägen, damit die statistische Methode (statt der Ertragswertmethode) angewendet werden könne. Zunächst gebe es einen Referenz- wert in unmittelbarer Nähe im Zusammenhang mit einem Strassenbauprojekt von Fr. 130.--/m2. Überdies hätte es gemäss Angaben der Schätzungskommission in der Vergangenheit auch Verkäufe von Fr. 140.--/m2 gegeben. Ferner sei zu beachten, dass gemäss Rechtsprechung auch Freihandverkäufe zu berücksichtigen seien. In diesem Zusammenhang habe die Gemeinde ein Kaufangebot von Fr. 120.--/m2 unterbreitet. Un- ter diesen Umständen sowie angesichts der von der Beschwerdeführerin der betreffen- den Parzelle zugemessenen erhöhten Bedeutung für den Tourismus sei der mittels sta- tistischer Methode ermittelte Verkehrswert auf Fr. 170.--/m2 zu erhöhen.</w:t>
      </w:r>
    </w:p>
    <w:p>
      <w:r>
        <w:t>Die Gemeinde hält dem entgegen, dass die Abklärungen der Schätzungskommission, wonach in der Bauzone Bodenverkäufe in der Höhe von bis zu Fr. 140.--/m2 ermittelt worden seien, Parzellen in der Bauzone ohne die reglementarischen Beschränkungen zum Gegenstand hätten. Da sich die Parzelle Nr. y1 jedoch in der Zone für touristische Bauten befinde, könnten diese Durchschnittswerte nicht als Vergleichswerte herangezo- gen werden. Das Angebot der Gemeinde über Fr. 120.--/m2 sei im Rahmen von Ver-</w:t>
      </w:r>
    </w:p>
    <w:p>
      <w:r>
        <w:t>- 14 - gleichsverhandlungen erfolgt, wobei die Schätzungskommission ihrerseits nicht an An- gebote der Parteien gebunden sei, weder betrags- noch begründungsmässig. Bei der betroffenen Parzelle müssten die Einschränkungen des BZR hinsichtlich der Zone für touristische Bauten sowie das bestehende Risiko der Ausscheidung als Freifläche be- achtet werden. Die Schätzungskommission habe zu Recht auf die Ertragswertmethode abgestellt. Sofern keine Freihandverkäufe für Parzellen in der Zone für touristische Bau- ten stattgefunden hätten, könnten solche auch nicht zur Bestimmung des Wertes mitein- bezogen werden. Der von der Beschwerdeführerin geltend gemachte Wert von Fr. 170.- -/m2 sei im Übrigen als illusorisch zu werten. Dies, zumal gemäss BZR im Rahmen des Quartierplans Parzellen für Freiflächen ausgeschieden werden könnten.</w:t>
      </w:r>
    </w:p>
    <w:p>
      <w:r>
        <w:t>Die Schätzungskommission hielt in ihrem Entscheid vom 15. Juli 2022 fest, dass die fragliche Parzelle in der Zone für touristische Bauten liege und damit dem Planungs- instrument eines Nutzungsplans unterstehe. Sie befinde sich in einer leichten Hanglage und werde rein touristisch genutzt. Im Rahmen der Schätzungen Strassenbauprojekt «Ortskernsanierung Durchfahrt Weiler D_________» in A_________ und «definitiver Landerwerb» seien im Jahre 2013 Böden in der Dorfzone in unmittelbarer Nähe zur Par- zelle Nr. y1 in vergleichbarer Lage mit anderer Nutzung mit Fr. 130.--/m2 geschätzt wor- den. Interne Abklärungen hätten ergeben, dass die Bodenpreise für Böden in der Bauzone (nicht aber in der Zone für touristische Bauten mit SNP) im Allgemeinen in der Gemeinde in den letzten Jahren zwischen Fr. 60.--/m2 und Fr. 140.--/m2 gehandelt wor- den seien. Gemäss statistischer Methode seien in den letzten Jahren gemäss Angaben des Registerhalters Böden durchschnittlich mit Fr. 102.--/m2 gehandelt worden. Da die- ser durchschnittlich erzielbare Bodenpreis als Vergleichswert zum effektiven Wert des Bodens aufgrund der Zonenunterschiede (Bauzone mit Wohnnutzung / touristische Nut- zung) zu wenig repräsentativ sei, habe die Kommission den Bodenwert für die Zone betreffend touristische Bauten über den kapitalisierten Mietertrag festgelegt. Aus dieser Berechnung ergebe sich ein Bodenpreis für die Parzelle von Fr. 82.45/m2. Unter Berück- sichtigung der Sachverhalte werde der Bodenpreis für die Parzelle in der Zone für tou- ristische Bauten (SNP) auf Fr. 85.--/m2 festgelegt.</w:t>
      </w:r>
    </w:p>
    <w:p>
      <w:r>
        <w:t>Die soeben rekapitulierten Entscheiderwägungen stimmen überein mit den Ausführun- gen unter Abschnitt 6.3 («Bodenpreis Zone für touristische Bauten») des Schätzungsbe- richts. Dieser listet ausserdem unter Abschnitt 4.4.2 («Vergleichspreise 1 Bauzone») so- wie unter Abschnitt 4.4.3 («Vergleichspreise 2 Bauzone») Vergleichspreise für die Bauzone auf. Unter Abschnitt 4.4.4 («mittlerer Wert») wird angemerkt, dass weder in A_________ noch in einer der anderen angefragten Gemeinden in den letzten Jahren</w:t>
      </w:r>
    </w:p>
    <w:p>
      <w:r>
        <w:t>- 15 - Grundstücke in der Zone für touristische Bauten gehandelt worden seien. Demnach stünden der Schätzungskommission keine Referenzpreise zur Verfügung, weshalb auch kein mittlerer Wett für die statistische Methode ermittelt werden könne. Die genaue Wert- berechnung mithilfe der Ertragswertmethode wird schliesslich unter Abschnitt 6 («Preise») vorgenommen.</w:t>
      </w:r>
    </w:p>
    <w:p>
      <w:r>
        <w:t>Die Standpunkte der Beschwerdeführerin und der Gemeinde divergieren vor allem hin- sichtlich der anzuwendenden Methode zur Ermittlung des Verkehrswerts der Parzelle Nr. y1. Während die Beschwerdeführerin der Auffassung ist, dass zur Festsetzung des zu entschädigenden Verkehrswerts durchaus auf die statistische Methode abgestellt werden könne, wird dies von der Gemeinde unter Berufung auf den vorinstanzlichen Entscheid in Abrede gestellt. Es ist daher nachfolgend zu prüfen, ob die Schätzungs- kommission in casu zu Recht die Ertragswertmethode angewandt hat.</w:t>
      </w:r>
    </w:p>
    <w:p>
      <w:r>
        <w:rPr>
          <w:b/>
        </w:rPr>
        <w:t>E. 4.8</w:t>
      </w:r>
    </w:p>
    <w:p>
      <w:r>
        <w:t>Die Schätzungskommission hat ihr Abstellen auf die Ertragswertmethode vor allem mit der Zugehörigkeit der Parzelle Nr. y1 zur Zone für touristische Bauten tB (SNP) be- gründet. Sie ist der Ansicht, dass die in den übrigen Bauzonen, namentlich der Dorf-, Ferienhaus- sowie Wohnzone, ermittelten Grundstückspreise nicht als Vergleichspreise für Grundstücke in der Zone für touristische Bauten herangezogen werden könnten. Da- mit würde es vorliegend an dem nötigen Vergleichsmaterial fehlen. Die statistische Me- thode allein aus dem Fehlen von Handänderungen in der Zone für touristische Bauten tB (SNP) zu verwerfen, geht jedoch nicht an.</w:t>
      </w:r>
    </w:p>
    <w:p>
      <w:r>
        <w:t>Wenngleich die in casu betroffene Zone für touristische Bauten hinsichtlich ihrer Nutzung keine Identität mit den übrigen Bauzonentypen aufweist, ist grundsätzlich nicht zum Vornherein ausgeschlossen, zur Verkehrswertberechnung einer Parzelle in der Zone für touristische Bauten Grundstückpreise heranzuziehen, welche für unüberbaute Liegen- schaften in den übrigen Bauzonen in der Vergangenheit bezahlt wurden. Der statisti- schen Methode müssen nicht zwingend Handänderungspreise für Grundstücke gleicher Art in der gleichen Zone zugrunde gelegt werden. Es muss sich lediglich um Vergleichs- preise für Objekte ähnlicher Beschaffenheit handeln, wobei an diese Voraussetzung keine zu hohen Anforderungen gestellt werden dürfen. Identität betreffend Lage, Grösse, Erschliessungsgrad und Ausnützungsmöglichkeit ist mit anderen Worten nicht zwingend notwendig.</w:t>
      </w:r>
    </w:p>
    <w:p>
      <w:r>
        <w:t>- 16 - Demzufolge wäre theoretisch auch in Situationen wie der vorliegenden zur Ermittlung des Verkehrswerts der betroffenen Parzelle auf vorhandene Verkaufspreise in den übri- gen Bauzonen abzustellen. Entgegen der Auffassung der Gemeinde sind die von der Schätzungskommission im Rahmen ihrer Erkundungen ausgemachten Werte nämlich nicht per se ungeeignet zur Verkehrswertberechnung. Dabei muss jedoch (zusätzlich) und generell beachtet werden, dass die im Einzelfall betroffene Parzelle vom privaten Eigentümer nicht bloss formell, sondern auch faktisch überbaut werden kann. Letzteres ist beispielsweise für ein Grundstück in der Zone für öffentliche Bauten und Anlagen grundsätzlich zu verneinen. Die Parzelle Nr. y1 befindet sich in der Zone für touristische Bauten tB (SNP), in welcher gemäss Art. 75 BZR nebst Bauten mit gastgewerblichen Betrieben auch Wohnbauten zugelassen werden können. Demnach wäre eine Überbau- ung der Parzelle Nr. y1 zwar grundsätzlich möglich. Beachtet man allerdings die über- geordnete funktionelle Bedeutung, welche dieser Parzelle nunmehr seit Jahrzehnten für die Tourismusdestination A_________ zukommt, ist die tatsächliche Realisierung einer Baute auf dieser Parzelle de facto ausgeschlossen. Mit anderen Worten würde einer allenfalls angedachten Überbauung klarerweise das überwiegende öffentliche Interesse an der bisherigen (touristischen) Nutzweise entgegenstehen. Daraus folgt, dass zwar zur Festlegung des Ausgangswerts der Verkehrswertberechnung auf die von der Schät- zungskommission eruierten Durchschnittswerte hätte abgestellt werden können. Dabei wäre aber gleichzeitig der soeben dargelegten besonderen funktionellen Beschaffenheit der Parzelle im Rahmen von Auf- und Abschlägen angemessen Rechnung zu tragen gewesen. Hinsichtlich der ermittelten Grundstückpreise ist noch anzumerken, dass Par- zellen, welche aufgrund ihrer Grösse und Lage nicht miteinander verglichen werden kön- nen, als sog. «Ausreisser» zum Vornherein zu eliminieren wären. Das angeblich von der Gemeinde im Rahmen von «Vorverhandlungen» abgegebene Angebot von Fr. 120.- -/m2 hätte ebenfalls unbeachtet zu bleiben. Derartige Freihandverkäufe können generell nur berücksichtigt werden, wenn sie denn auch tatsächlich getätigt worden sind.</w:t>
      </w:r>
    </w:p>
    <w:p>
      <w:r>
        <w:t>Wenngleich die Vorinstanz nicht auf diese statistische Methode abgestellt hat, erscheint aufgrund der Vergleichspreise und der notwendigerweise vorzunehmenden nutzungs- bedingten Reduktion der vorinstanzlich festgesetzte Wert von Fr. 85.--/m2 bereits an die- ser Stelle zumindest «prima facie» nicht unangemessen.</w:t>
      </w:r>
    </w:p>
    <w:p>
      <w:r>
        <w:rPr>
          <w:b/>
        </w:rPr>
        <w:t>E. 4.9</w:t>
      </w:r>
    </w:p>
    <w:p>
      <w:r>
        <w:t>Aus dem Gesagten ergibt sich, dass aufgrund des generellen Vorrangs der statisti- schen Methode und des Vorhandenseins von Vergleichspreisen die Schätzungskom- mission grundsätzlich diese Berechnungsmethode statt die von ihr vorgenommene Er- tragswertberechnung hätte verwenden sollen.</w:t>
      </w:r>
    </w:p>
    <w:p>
      <w:r>
        <w:t>- 17 -</w:t>
      </w:r>
    </w:p>
    <w:p>
      <w:r>
        <w:rPr>
          <w:b/>
        </w:rPr>
        <w:t>E. 5</w:t>
      </w:r>
    </w:p>
    <w:p>
      <w:r>
        <w:t>Das vorinstanzliche Abstellen auf eine alternative Berechnungsmethode, in casu der Ertragswertmethode, führt nun aber nicht zwangsläufig dazu, dass sich der so ermit- telte Verkehrswert in jedem Fall als falsch zu erweisen hätte. Es bleibt daher zu prüfen, ob die von der Vorinstanz vorgenommene Ertragswertberechnung vorliegend zu einem vertretbaren Ergebnis führt.</w:t>
      </w:r>
    </w:p>
    <w:p>
      <w:r>
        <w:rPr>
          <w:b/>
        </w:rPr>
        <w:t>E. 5.1</w:t>
      </w:r>
    </w:p>
    <w:p>
      <w:r>
        <w:t>Die Schätzungskommission wendet die Ertragswertmethode an und gelangt dabei in Bezug auf die Parzelle Nr. y1 zu einem Grundstückspreis von Fr. 85.--/m2. Die einzel- nen Berechnungsschritte und die dazugehörigen Erläuterungen lassen sich dem Ab- schnitt 6 («Preise») des Berichts vom 15. Juli 2022 entnehmen. Der Bruttomietertrag kann bereits an dieser Stelle ohne Weiteres bestätigt werden. Dies, zumal nicht einzu- sehen ist, inwiefern dieser Betrag nicht korrekt sein sollte. Wie es sich überdies in diesem Zusammenhang mit der von den Parteien erwähnten Parkkarte verhält, kann mangels Relevanz offenbleiben. In Bezug auf den zuvor erwähnten Kapitalisierungsfaktor führt die Schätzungskommission in besagtem Bericht aus, dass der Kapitalisierungssatz als bewertungszweckabhängige Verhältniszahl in Prozent zu verstehen sei, mit welcher aus dem Mietwert der Ertragswert errechnet werde. Der Kapitalisierungssatz werde mittels Zuschlägen resp. Abzügen zu einem Basiszinssatz ermittelt. Als Basiszinssatz sei auf- grund fehlender Angaben des Verhältnisses Fremd- und Eigenkapital der Hypothekar- zinssatz der heutigen Marktsituation auf dem Geld- und Kapitalmarkt angerechnet wor- den. Gemäss Erfahrungswerten liege der Kapitalisierungssatz für spezielle Nutzungen höher als bei Wohnbauten und pendle sich im Bereich zwischen 4 - 6 % ein. Die Schät- zungskommission geht in der Folge von einem Basiszinssatz von 2 % sowie einem Zu- schlag von ebenfalls 2 % aus. Der daraus resultierende Kapitalisierungssatz von 4 % wird schliesslich um 0.5 % nach oben korrigiert. Als Begründung in diesem Zusammen- hang verweist die Schätzungskommission auf die negative Marktprognose. Im An- schluss ermittelt die Schätzungskommission den (Brutto-)Mietertrag der Parzelle, wel- cher sich aus der fixen Jahresmiete von Fr. 1 000.-- sowie aus dem Mittel der jährlichen variablen Mieteinnahmen zusammensetze und total Fr. 4 918.76 betrage. Multipliziert mit dem Kapitalisierungssatz von 4.5 % resultiere ein Ertragswert von Fr. 109 305.75. Bei diesem Betrag handle es sich um einen maximal erzielbaren Wert auf Basis der momentan erzielbaren Mieteinnahmen, der erreicht werden könne, wenn die gesamte Liegenschaft mit allen Baurechten vermietet werde. Der auf diese Weise ermittelte Er- tragswert wird schliesslich durch die Grundstücksfläche dividiert. Daraus resultiert ein Quadratmeterpreis von Fr. 83.45/m2. Unter dem Abschnitt 6.3 («Bodenpreis Zone für</w:t>
      </w:r>
    </w:p>
    <w:p>
      <w:r>
        <w:t>- 18 - touristische Bauten») führt die Schätzungskommission alsdann aus, dass «unter Berück- sichtigung der Sachverhalte» der Bodenpreis für Parzellen in der Zone für touristische Bauten (SNP) auf Fr. 85.--/m2 festgelegt werde.</w:t>
      </w:r>
    </w:p>
    <w:p>
      <w:r>
        <w:rPr>
          <w:b/>
        </w:rPr>
        <w:t>E. 5.2</w:t>
      </w:r>
    </w:p>
    <w:p>
      <w:r>
        <w:t>Die Beschwerdeführerin äussert sich zur Frage der Anwendbarkeit der Ertragswert- methode und bringt in diesem Zusammenhang vor, dass die Schätzungskommission weder erkläre, wie sie den Kapitalisierungssatz konkret berechne noch welche Korrek- turen sie warum vornehme. Insbesondere die Begründung, dass im vorliegenden Fall die Korrekturen in der negativen Marktprognose begründet seien, werde nicht weiter ausgeführt und könne demnach nicht nachvollzogen werden. Jedenfalls sei der verwen- dete Kapitalisierungsfaktor erheblich zu korrigieren. Werde beispielweise ein Satz von</w:t>
      </w:r>
    </w:p>
    <w:p>
      <w:r>
        <w:rPr>
          <w:b/>
        </w:rPr>
        <w:t>E. 5.3</w:t>
      </w:r>
    </w:p>
    <w:p>
      <w:r>
        <w:t>Vorab ist festzuhalten, dass ein Abstellen auf die Ertragswertmethode zur Ermitt- lung des Verkehrswerts eines Grundstückes auf jeden Fall ein einzelfallbezogenes und hinreichend begründetes Vorgehen erfordert. Dies nicht zuletzt aufgrund der oben dar- gelegten erheblichen Hebelwirkung des Kapitalisierungsfaktors. Damit kann vorwegge- nommen werden, dass die von der Gemeinde unter Berufung auf die bundesgerichtliche Rechtsprechung pauschal angeführten Prozentsätze nicht zu überzeugen vermögen, wobei die in den zitierten Urteilen vorherrschenden Verhältnissen ohnehin nicht oder nur zum Teil mit den hier vorliegenden vergleichbar sind.</w:t>
      </w:r>
    </w:p>
    <w:p>
      <w:r>
        <w:rPr>
          <w:b/>
        </w:rPr>
        <w:t>E. 5.4</w:t>
      </w:r>
    </w:p>
    <w:p>
      <w:r>
        <w:t>Die Schätzungskommission erläutert in ihrem Bericht, dass sich der Kapitalisie- rungssatz aus einem Basiszinssatz sowie Zuschlägen resp. Abzügen zusammensetze. Als Basiszinssatz sei aufgrund fehlender Angaben des Verhältnisses Fremdkapital und Eigenkapital der Hypothekarzinssatz der heutigen Marktsituation auf dem Geld- und Ka- pitalmarkt angerechnet worden. Im Anschluss wird ausgeführt, dass gemäss Erfah- rungswerten der Kapitalisierungssatz für «spezielle Nutzungen» höher sei als für Wohn-</w:t>
      </w:r>
    </w:p>
    <w:p>
      <w:r>
        <w:t>- 19 - bauten und sich im Bereich zwischen 4 - 6 % einpendle. Ausgehend von diesen Erwä- gungen setzt die Schätzungskommission den Basiszinssatz auf 2 % und den Zuschlag ebenfalls auf 2 % fest. Dem ist nichts entgegenzuhalten. Wenngleich der Hypothekar- zinssatz von der Schätzungskommission nicht explizit angegeben wird, so scheint ein Basiszinssatz von 2 % angemessen. Dies namentlich vor dem Hintergrund der Entwick- lung der Zinssätze der gebräuchlichen Hypotheken in den letzten zehn Jahren (https://www.raiffeisen.ch/rch/de/privatkunden/hypotheken/hypothekenzinsen.html, zu- letzt besucht am 6. Februar 2023). Hinsichtlich des von der Schätzungskommission ge- wählten Zuschlags von 2 % vermag die diesbezügliche Begründung zwar nicht vollstän- dig zu überzeugen. Dies, zumal nicht einleuchtet, dass der bisherigen Parkplatznutzung als «spezielle Nutzung» im Verhältnis zur «gewöhnlichen» Wohnnutzung ein höherer Unterhaltsbedarf zukommen soll. Dies müsste jedoch der Fall sein, zumal sich im Zu- schlagsfaktor der Barwert der laufenden Bewirtschaftungskosten sowie der Rückstellun- gen für allfällige Renovationen wiederspiegelt. Jedenfalls dürfte klar sein, dass die im Zusammenhang mit einer Parkplatznutzung anfallenden Unterhaltskosten kaum mit ei- nem Hotellerie- oder Restaurationsbetrieb gleichgesetzt werden können. Trotz dieser mangelhaften Begründung des Zuschlagsfaktors scheint ein solcher von 2 % nicht überhöht. Dies, zumal in der Praxis bei anderweitigen Wohn- oder Geschäftsnutzungen ein deutlich höherer Faktor eingesetzt wird. Schliesslich erscheint auch die von der Schätzungskommission vorgenommene Erhöhung des Kapitalisierungszinssatzes um 0.5 % nicht als vermessen und ist damit nicht zu beanstanden. Dabei ist jedoch festzu- halten, dass sich der blosse Verweis auf die «negative Marktprognose» ebenfalls als dürftig erweist. Das Gericht schliesst sich jedoch dem Argument an, wonach die anhal- tende Klimaerwärmung und der in den nächsten Jahren damit einhergehende Schnee- mangel zu Umsatz- oder zumindest Gewinneinbussen führen dürfte.</w:t>
      </w:r>
    </w:p>
    <w:p>
      <w:r>
        <w:rPr>
          <w:b/>
        </w:rPr>
        <w:t>E. 5.5</w:t>
      </w:r>
    </w:p>
    <w:p>
      <w:r>
        <w:t>Aus alledem folgt, dass sich die trotz mangelhafter Begründung vorgenommene Verkehrswertberechnung gestützt auf die Ertragswertmethode und der dabei festgelegte Kapitalisierungssatz von 4.5 % insgesamt als sachgerecht erweisen. Obschon die Vo- rinstanz, wie zuvor erwähnt, grundsätzlich auf die statistische Methode hätte abstellen sollen, gelangt sie mit der von ihr durchgeführten Ertragswertberechnung gleichermas- sen zu einem angemessenen und daher vertretbaren Ergebnis. Mit anderen Worten hätte die statistische Methode ein sehr ähnliches Ergebnis zu Tage gefördert. Die von der Vorinstanz zugesprochene Entschädigung von Fr. 85.--/m2 ist als «volle Entschädi- gung» zu qualifizieren und hält damit den gesetzlichen Anforderungen stand.</w:t>
      </w:r>
    </w:p>
    <w:p>
      <w:r>
        <w:t>- 20 -</w:t>
      </w:r>
    </w:p>
    <w:p>
      <w:r>
        <w:rPr>
          <w:b/>
        </w:rPr>
        <w:t>E. 6</w:t>
      </w:r>
    </w:p>
    <w:p>
      <w:r>
        <w:t>Nach dem Gesagten erweist sich die Beschwerde als unbegründet und ist abzuwei- sen. Der angefochtene Entscheid der Schätzungskommission vom 15. Juli 2022 wird bestätigt.</w:t>
      </w:r>
    </w:p>
    <w:p>
      <w:r>
        <w:rPr>
          <w:b/>
        </w:rPr>
        <w:t>E. 6.1</w:t>
      </w:r>
    </w:p>
    <w:p>
      <w:r>
        <w:t>Im Beschwerdeverfahren hat in der Regel die unterliegende Partei die Kosten zu tragen (Art. 89 Abs. 1 VVRG). Ausnahmsweise können die Kosten ganz oder teilweise erlassen werden (Art. 89 Abs. 2 VVRG). Infolge der zumindest teilweise mangelhaften Begründung war die Beschwerdeführerin gehalten, den Entscheid der Schätzungskom- mission richterlich überprüfen zu lassen. Es rechtfertigt sich daher nicht, der Beschwer- deführerin die Gerichtskosten aufzuerlegen</w:t>
      </w:r>
    </w:p>
    <w:p>
      <w:r>
        <w:rPr>
          <w:b/>
        </w:rPr>
        <w:t>E. 6.2</w:t>
      </w:r>
    </w:p>
    <w:p>
      <w:r>
        <w:t>Den Behörden oder mit öffentlichen Aufgaben betrauten Organisationen, welche obsiegen, darf in der Regel keine Parteientschädigung zugesprochen werden (Art. 91 Abs. 3 VVRG). Es liegen keine Gründe vor, um von dieser Regel abzuweichen; der Be- schwerdeführerin wird daher keine Parteientschädigung zugesprochen.</w:t>
      </w:r>
    </w:p>
    <w:p>
      <w:r>
        <w:t>Demnach erkennt das Kantonsgericht:</w:t>
      </w:r>
    </w:p>
    <w:p>
      <w:r>
        <w:t>1. Die Beschwerde wird abgewiesen. 2. Es werden weder Gerichtskosten erhoben noch Parteientschädigungen zugespro- chen. 3. Das Urteil wird X_________, der Einwohnergemeinde A_________ und der Schät- zungskommission schriftlich mitgeteilt.</w:t>
      </w:r>
    </w:p>
    <w:p>
      <w:r>
        <w:t>Sitten, 17. Februar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